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3" w:rsidRDefault="005A65B3" w:rsidP="005A65B3">
      <w:pPr>
        <w:pStyle w:val="Default"/>
        <w:tabs>
          <w:tab w:val="left" w:pos="5875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11/2015 Version</w:t>
      </w:r>
    </w:p>
    <w:p w:rsidR="005A65B3" w:rsidRDefault="005A65B3" w:rsidP="005A65B3">
      <w:pPr>
        <w:pStyle w:val="Default"/>
        <w:tabs>
          <w:tab w:val="left" w:pos="5875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4008" w:rsidRDefault="007D4F84" w:rsidP="005A65B3">
      <w:pPr>
        <w:pStyle w:val="Default"/>
        <w:tabs>
          <w:tab w:val="left" w:pos="587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F06">
        <w:rPr>
          <w:rFonts w:ascii="Times New Roman" w:hAnsi="Times New Roman" w:cs="Times New Roman"/>
          <w:b/>
          <w:i/>
          <w:sz w:val="28"/>
          <w:szCs w:val="28"/>
        </w:rPr>
        <w:t>SMG</w:t>
      </w:r>
      <w:r w:rsidR="00D02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4008" w:rsidRPr="00EC1F06">
        <w:rPr>
          <w:rFonts w:ascii="Times New Roman" w:hAnsi="Times New Roman" w:cs="Times New Roman"/>
          <w:b/>
          <w:i/>
          <w:sz w:val="28"/>
          <w:szCs w:val="28"/>
        </w:rPr>
        <w:t>OFFER LETTER</w:t>
      </w:r>
      <w:r w:rsidR="008E5A5C">
        <w:rPr>
          <w:rFonts w:ascii="Times New Roman" w:hAnsi="Times New Roman" w:cs="Times New Roman"/>
          <w:b/>
          <w:i/>
          <w:sz w:val="28"/>
          <w:szCs w:val="28"/>
        </w:rPr>
        <w:t xml:space="preserve"> TEMPLATE</w:t>
      </w:r>
      <w:r w:rsidR="00DA0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65B3" w:rsidRDefault="005A65B3" w:rsidP="005A65B3">
      <w:pPr>
        <w:pStyle w:val="Default"/>
        <w:tabs>
          <w:tab w:val="left" w:pos="587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EEE" w:rsidRDefault="00402EEE" w:rsidP="005A65B3">
      <w:pPr>
        <w:pStyle w:val="Default"/>
        <w:tabs>
          <w:tab w:val="left" w:pos="587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182A" w:rsidRPr="00EC1F06" w:rsidRDefault="0013182A" w:rsidP="005A65B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03B85" w:rsidRPr="00EC1F06" w:rsidRDefault="0013182A" w:rsidP="005A65B3">
      <w:pPr>
        <w:pStyle w:val="Default"/>
        <w:spacing w:line="360" w:lineRule="auto"/>
        <w:rPr>
          <w:rFonts w:ascii="Times New Roman" w:hAnsi="Times New Roman" w:cs="Times New Roman"/>
        </w:rPr>
      </w:pPr>
      <w:r w:rsidRPr="00EC1F06">
        <w:rPr>
          <w:rFonts w:ascii="Times New Roman" w:hAnsi="Times New Roman" w:cs="Times New Roman"/>
        </w:rPr>
        <w:t>DATE</w:t>
      </w:r>
    </w:p>
    <w:p w:rsidR="00C03B85" w:rsidRPr="00EC1F06" w:rsidRDefault="00C03B85" w:rsidP="005A65B3">
      <w:pPr>
        <w:pStyle w:val="Default"/>
        <w:spacing w:line="360" w:lineRule="auto"/>
        <w:rPr>
          <w:rFonts w:ascii="Times New Roman" w:hAnsi="Times New Roman" w:cs="Times New Roman"/>
        </w:rPr>
      </w:pPr>
      <w:r w:rsidRPr="00EC1F06">
        <w:rPr>
          <w:rFonts w:ascii="Times New Roman" w:hAnsi="Times New Roman" w:cs="Times New Roman"/>
        </w:rPr>
        <w:t>(NAME)</w:t>
      </w:r>
    </w:p>
    <w:p w:rsidR="00C03B85" w:rsidRPr="00EC1F06" w:rsidRDefault="00C03B85" w:rsidP="005A65B3">
      <w:pPr>
        <w:pStyle w:val="Default"/>
        <w:spacing w:line="360" w:lineRule="auto"/>
        <w:rPr>
          <w:rFonts w:ascii="Times New Roman" w:hAnsi="Times New Roman" w:cs="Times New Roman"/>
        </w:rPr>
      </w:pPr>
      <w:r w:rsidRPr="00EC1F06">
        <w:rPr>
          <w:rFonts w:ascii="Times New Roman" w:hAnsi="Times New Roman" w:cs="Times New Roman"/>
        </w:rPr>
        <w:t>(ADDRESS)</w:t>
      </w:r>
    </w:p>
    <w:p w:rsidR="00C03B85" w:rsidRPr="00EC1F06" w:rsidRDefault="00C03B85" w:rsidP="005A65B3">
      <w:pPr>
        <w:pStyle w:val="Default"/>
        <w:spacing w:line="360" w:lineRule="auto"/>
        <w:rPr>
          <w:rFonts w:ascii="Times New Roman" w:hAnsi="Times New Roman" w:cs="Times New Roman"/>
        </w:rPr>
      </w:pPr>
      <w:r w:rsidRPr="00EC1F06">
        <w:rPr>
          <w:rFonts w:ascii="Times New Roman" w:hAnsi="Times New Roman" w:cs="Times New Roman"/>
        </w:rPr>
        <w:t>(EMAIL)</w:t>
      </w:r>
    </w:p>
    <w:p w:rsidR="00C03B85" w:rsidRPr="00EC1F06" w:rsidRDefault="00C03B85" w:rsidP="005A65B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03B85" w:rsidRPr="00EC1F06" w:rsidRDefault="00C03B85" w:rsidP="005A65B3">
      <w:pPr>
        <w:pStyle w:val="Default"/>
        <w:spacing w:line="360" w:lineRule="auto"/>
        <w:rPr>
          <w:rFonts w:ascii="Times New Roman" w:hAnsi="Times New Roman" w:cs="Times New Roman"/>
        </w:rPr>
      </w:pPr>
      <w:r w:rsidRPr="00EC1F06">
        <w:rPr>
          <w:rFonts w:ascii="Times New Roman" w:hAnsi="Times New Roman" w:cs="Times New Roman"/>
        </w:rPr>
        <w:t>DEAR:</w:t>
      </w:r>
    </w:p>
    <w:p w:rsidR="00C03B85" w:rsidRPr="00AD2520" w:rsidRDefault="00C03B85" w:rsidP="005A65B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16926" w:rsidRPr="00AD2520" w:rsidRDefault="00C03B85" w:rsidP="005A65B3">
      <w:pPr>
        <w:pStyle w:val="NormalWeb"/>
        <w:spacing w:before="0" w:beforeAutospacing="0" w:after="0" w:afterAutospacing="0" w:line="360" w:lineRule="auto"/>
      </w:pPr>
      <w:r w:rsidRPr="00AD2520">
        <w:t>Welcome to the University of Cali</w:t>
      </w:r>
      <w:r w:rsidR="007D4F84" w:rsidRPr="00AD2520">
        <w:t>fornia</w:t>
      </w:r>
      <w:r w:rsidR="004746D0" w:rsidRPr="00AD2520">
        <w:t xml:space="preserve"> </w:t>
      </w:r>
      <w:r w:rsidR="007D4F84" w:rsidRPr="00AD2520">
        <w:rPr>
          <w:highlight w:val="yellow"/>
        </w:rPr>
        <w:t>(INSERT UC LOCATION).</w:t>
      </w:r>
      <w:r w:rsidR="007D4F84" w:rsidRPr="00AD2520">
        <w:t xml:space="preserve">  </w:t>
      </w:r>
    </w:p>
    <w:p w:rsidR="00631620" w:rsidRPr="00AD2520" w:rsidRDefault="005403C8" w:rsidP="005A65B3">
      <w:pPr>
        <w:pStyle w:val="NormalWeb"/>
        <w:spacing w:line="360" w:lineRule="auto"/>
      </w:pPr>
      <w:r w:rsidRPr="00AD2520">
        <w:t>As discussed, you are</w:t>
      </w:r>
      <w:r w:rsidR="00D70C71">
        <w:t xml:space="preserve"> being offered the position of</w:t>
      </w:r>
      <w:r w:rsidR="002B5DA3" w:rsidRPr="00AD2520">
        <w:t xml:space="preserve"> </w:t>
      </w:r>
      <w:r w:rsidRPr="00AD2520">
        <w:rPr>
          <w:highlight w:val="yellow"/>
        </w:rPr>
        <w:t>XXXX</w:t>
      </w:r>
      <w:r w:rsidRPr="00AD2520">
        <w:t xml:space="preserve"> at </w:t>
      </w:r>
      <w:r w:rsidR="008D524F" w:rsidRPr="00AD2520">
        <w:rPr>
          <w:color w:val="FF0000"/>
          <w:highlight w:val="yellow"/>
        </w:rPr>
        <w:t>(</w:t>
      </w:r>
      <w:r w:rsidR="008D524F" w:rsidRPr="00AD2520">
        <w:rPr>
          <w:highlight w:val="yellow"/>
        </w:rPr>
        <w:t xml:space="preserve">INSERT DEPT. OR ORGANIZATION) </w:t>
      </w:r>
      <w:r w:rsidR="004D62F8" w:rsidRPr="00AD2520">
        <w:rPr>
          <w:highlight w:val="yellow"/>
        </w:rPr>
        <w:t xml:space="preserve"> </w:t>
      </w:r>
      <w:r w:rsidR="00CB77EF" w:rsidRPr="00AD2520">
        <w:rPr>
          <w:highlight w:val="yellow"/>
        </w:rPr>
        <w:t xml:space="preserve">(INSERT ONLY IF APPLICABLE) </w:t>
      </w:r>
      <w:r w:rsidR="008D524F" w:rsidRPr="00AD2520">
        <w:rPr>
          <w:highlight w:val="yellow"/>
        </w:rPr>
        <w:t xml:space="preserve">subject to approval </w:t>
      </w:r>
      <w:r w:rsidR="007009A3" w:rsidRPr="00AD2520">
        <w:rPr>
          <w:highlight w:val="yellow"/>
        </w:rPr>
        <w:t xml:space="preserve">by [The Regents or the President (CHOOSE AS APPLICABLE)] </w:t>
      </w:r>
      <w:r w:rsidR="008D524F" w:rsidRPr="00AD2520">
        <w:rPr>
          <w:highlight w:val="yellow"/>
        </w:rPr>
        <w:t>and effective on or about</w:t>
      </w:r>
      <w:r w:rsidR="008D524F" w:rsidRPr="00AD2520">
        <w:t xml:space="preserve"> </w:t>
      </w:r>
      <w:r w:rsidR="008D524F" w:rsidRPr="00AD2520">
        <w:rPr>
          <w:highlight w:val="yellow"/>
        </w:rPr>
        <w:t>XXX (INSERT DATE).</w:t>
      </w:r>
      <w:r w:rsidR="008D524F" w:rsidRPr="00AD2520">
        <w:t xml:space="preserve"> </w:t>
      </w:r>
      <w:r w:rsidRPr="00AD2520">
        <w:rPr>
          <w:color w:val="FF0000"/>
        </w:rPr>
        <w:t xml:space="preserve"> </w:t>
      </w:r>
      <w:r w:rsidR="006604CC" w:rsidRPr="00AD2520">
        <w:t xml:space="preserve">The compensation for this position is </w:t>
      </w:r>
      <w:r w:rsidR="006604CC" w:rsidRPr="00AD2520">
        <w:rPr>
          <w:highlight w:val="yellow"/>
        </w:rPr>
        <w:t>XXXX monthly or XXXX annually</w:t>
      </w:r>
      <w:r w:rsidR="006604CC" w:rsidRPr="00AD2520">
        <w:t xml:space="preserve">.  </w:t>
      </w:r>
      <w:r w:rsidR="00C32276" w:rsidRPr="00AD2520">
        <w:t>Your appointment is</w:t>
      </w:r>
      <w:r w:rsidR="00C35D2C" w:rsidRPr="00AD2520">
        <w:t xml:space="preserve"> part of the University’s Senior Management Group (SMG) Program.  The SMG Program is reserved for those administrative </w:t>
      </w:r>
      <w:r w:rsidR="00222E55">
        <w:t>executives</w:t>
      </w:r>
      <w:r w:rsidR="00C35D2C" w:rsidRPr="00AD2520">
        <w:t xml:space="preserve"> who </w:t>
      </w:r>
      <w:r w:rsidR="005A65B3">
        <w:t>work at the highest level of leadership at the University.</w:t>
      </w:r>
      <w:r w:rsidR="00C35D2C" w:rsidRPr="00AD2520">
        <w:t xml:space="preserve">  </w:t>
      </w:r>
      <w:r w:rsidR="00DE109C" w:rsidRPr="00AD2520">
        <w:t xml:space="preserve">Once approved, the terms of your compensation contained in this offer letter and as defined in the Regents Policy </w:t>
      </w:r>
      <w:r w:rsidR="001D6697" w:rsidRPr="00AD2520">
        <w:t>(</w:t>
      </w:r>
      <w:hyperlink r:id="rId9" w:history="1">
        <w:r w:rsidR="001D6697" w:rsidRPr="00AD2520">
          <w:rPr>
            <w:rStyle w:val="Hyperlink"/>
          </w:rPr>
          <w:t>Principles for Review of Executive Compensation)</w:t>
        </w:r>
      </w:hyperlink>
      <w:r w:rsidR="001D6697" w:rsidRPr="00AD2520">
        <w:t xml:space="preserve"> </w:t>
      </w:r>
      <w:r w:rsidR="00DE109C" w:rsidRPr="00AD2520">
        <w:t xml:space="preserve">will be available to the public.  </w:t>
      </w:r>
      <w:r w:rsidR="00DA5DF4" w:rsidRPr="00AD2520">
        <w:t>T</w:t>
      </w:r>
      <w:r w:rsidR="001D6697" w:rsidRPr="00AD2520">
        <w:t>he policies related to your</w:t>
      </w:r>
      <w:r w:rsidR="00FF05BB" w:rsidRPr="00AD2520">
        <w:t xml:space="preserve"> appointment are outlined in the following link: </w:t>
      </w:r>
      <w:hyperlink r:id="rId10" w:history="1">
        <w:r w:rsidR="00FF05BB" w:rsidRPr="00AD2520">
          <w:rPr>
            <w:rStyle w:val="Hyperlink"/>
          </w:rPr>
          <w:t>SMG Policies</w:t>
        </w:r>
      </w:hyperlink>
      <w:r w:rsidR="00126CFD" w:rsidRPr="00AD2520">
        <w:rPr>
          <w:rStyle w:val="Hyperlink"/>
        </w:rPr>
        <w:t>.</w:t>
      </w:r>
      <w:r w:rsidR="00126CFD" w:rsidRPr="008A4D60">
        <w:rPr>
          <w:rStyle w:val="Hyperlink"/>
          <w:u w:val="none"/>
        </w:rPr>
        <w:t xml:space="preserve"> </w:t>
      </w:r>
      <w:r w:rsidR="00126CFD" w:rsidRPr="00AD2520">
        <w:rPr>
          <w:rStyle w:val="Hyperlink"/>
          <w:color w:val="auto"/>
          <w:u w:val="none"/>
        </w:rPr>
        <w:t>It is important that you familiarize yourself with these policies as they will guide your appointment at the University.</w:t>
      </w:r>
    </w:p>
    <w:p w:rsidR="00614532" w:rsidRDefault="00614532" w:rsidP="005A65B3">
      <w:pPr>
        <w:pStyle w:val="ListParagraph"/>
        <w:suppressAutoHyphens/>
        <w:spacing w:after="0" w:line="360" w:lineRule="auto"/>
        <w:ind w:left="792"/>
        <w:rPr>
          <w:rFonts w:ascii="Times New Roman" w:hAnsi="Times New Roman"/>
          <w:sz w:val="24"/>
          <w:szCs w:val="24"/>
        </w:rPr>
      </w:pPr>
    </w:p>
    <w:p w:rsidR="00F91B52" w:rsidRPr="00170E98" w:rsidRDefault="00614532" w:rsidP="005A65B3">
      <w:pPr>
        <w:pStyle w:val="ListParagraph"/>
        <w:numPr>
          <w:ilvl w:val="0"/>
          <w:numId w:val="11"/>
        </w:numPr>
        <w:suppressAutoHyphens/>
        <w:spacing w:line="360" w:lineRule="auto"/>
        <w:ind w:left="792" w:right="-331"/>
        <w:rPr>
          <w:rFonts w:ascii="Times New Roman" w:hAnsi="Times New Roman" w:cs="Times New Roman"/>
          <w:sz w:val="24"/>
          <w:szCs w:val="24"/>
        </w:rPr>
      </w:pPr>
      <w:r w:rsidRPr="00170E98">
        <w:rPr>
          <w:rFonts w:ascii="Times New Roman" w:hAnsi="Times New Roman" w:cs="Times New Roman"/>
          <w:sz w:val="24"/>
          <w:szCs w:val="24"/>
        </w:rPr>
        <w:t>A hiring bonus of</w:t>
      </w:r>
      <w:r w:rsidR="00F91B52" w:rsidRPr="00170E98">
        <w:rPr>
          <w:rFonts w:ascii="Times New Roman" w:hAnsi="Times New Roman" w:cs="Times New Roman"/>
          <w:sz w:val="24"/>
          <w:szCs w:val="24"/>
        </w:rPr>
        <w:t xml:space="preserve"> </w:t>
      </w:r>
      <w:r w:rsidRPr="00170E98">
        <w:rPr>
          <w:rFonts w:ascii="Times New Roman" w:hAnsi="Times New Roman" w:cs="Times New Roman"/>
          <w:sz w:val="24"/>
          <w:szCs w:val="24"/>
          <w:highlight w:val="yellow"/>
        </w:rPr>
        <w:t>XXXXX (MAXIMUM OF 20% OF STARTING SALARY.</w:t>
      </w:r>
      <w:r w:rsidR="00F91B52" w:rsidRPr="00170E98">
        <w:rPr>
          <w:rFonts w:ascii="Times New Roman" w:hAnsi="Times New Roman" w:cs="Times New Roman"/>
          <w:sz w:val="24"/>
          <w:szCs w:val="24"/>
          <w:highlight w:val="yellow"/>
        </w:rPr>
        <w:t xml:space="preserve"> THE TOTAL HIRING BONUS AND RELOCATION ALLOWANCE OFFERED CANNOT EXCEED 30% OF THE PROPOSED STARTING BASE SALARY.</w:t>
      </w:r>
      <w:r w:rsidRPr="00170E98">
        <w:rPr>
          <w:rFonts w:ascii="Times New Roman" w:hAnsi="Times New Roman" w:cs="Times New Roman"/>
          <w:sz w:val="24"/>
          <w:szCs w:val="24"/>
          <w:highlight w:val="yellow"/>
        </w:rPr>
        <w:t xml:space="preserve">  )</w:t>
      </w:r>
      <w:r w:rsidRPr="00170E98">
        <w:rPr>
          <w:rFonts w:ascii="Times New Roman" w:hAnsi="Times New Roman" w:cs="Times New Roman"/>
          <w:sz w:val="24"/>
          <w:szCs w:val="24"/>
        </w:rPr>
        <w:t xml:space="preserve"> is being offered to you as part of </w:t>
      </w:r>
      <w:r w:rsidR="00170E98" w:rsidRPr="00170E98">
        <w:rPr>
          <w:rFonts w:ascii="Times New Roman" w:hAnsi="Times New Roman" w:cs="Times New Roman"/>
          <w:sz w:val="24"/>
          <w:szCs w:val="24"/>
        </w:rPr>
        <w:t xml:space="preserve">your total compensation package as noted </w:t>
      </w:r>
      <w:r w:rsidR="00A858E8" w:rsidRPr="00170E98">
        <w:rPr>
          <w:rFonts w:ascii="Times New Roman" w:hAnsi="Times New Roman" w:cs="Times New Roman"/>
          <w:sz w:val="24"/>
          <w:szCs w:val="24"/>
        </w:rPr>
        <w:t xml:space="preserve">in </w:t>
      </w:r>
      <w:hyperlink r:id="rId11" w:history="1">
        <w:r w:rsidRPr="00170E98">
          <w:rPr>
            <w:rStyle w:val="Hyperlink"/>
            <w:rFonts w:ascii="Times New Roman" w:hAnsi="Times New Roman" w:cs="Times New Roman"/>
            <w:sz w:val="24"/>
            <w:szCs w:val="24"/>
          </w:rPr>
          <w:t>Regents Policy 7705</w:t>
        </w:r>
      </w:hyperlink>
      <w:r w:rsidRPr="00170E9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F91B52" w:rsidRPr="00EF08F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F91B52" w:rsidRPr="00170E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hiring </w:t>
      </w:r>
      <w:r w:rsidR="00F91B52" w:rsidRPr="00170E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bonus is payable</w:t>
      </w:r>
      <w:r w:rsidR="00170E98" w:rsidRPr="00170E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a </w:t>
      </w:r>
      <w:r w:rsidR="009021E0" w:rsidRPr="009021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(CHOOSE LUMP SUM OR INSTALLMENTS) </w:t>
      </w:r>
      <w:r w:rsidR="00170E98" w:rsidRPr="009021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L</w:t>
      </w:r>
      <w:r w:rsidR="00170E98" w:rsidRPr="00170E98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ump Sum </w:t>
      </w:r>
      <w:r w:rsidR="00170E98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and paid within 30 days of your hire date or Installment Payments over a period </w:t>
      </w:r>
      <w:r w:rsidR="00A858E8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of 2</w:t>
      </w:r>
      <w:r w:rsidR="00170E98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, 3 or 4 </w:t>
      </w:r>
      <w:r w:rsidR="00170E98" w:rsidRPr="009021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years</w:t>
      </w:r>
      <w:r w:rsidR="009021E0" w:rsidRPr="009021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at a monthly installment of XXX</w:t>
      </w:r>
      <w:r w:rsidR="00170E98" w:rsidRPr="009021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.</w:t>
      </w:r>
      <w:r w:rsidR="00170E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Please note if you separate from UC, a repayment provision will be required and all future installment payments are forefeited.</w:t>
      </w:r>
    </w:p>
    <w:p w:rsidR="00631620" w:rsidRPr="00AD2520" w:rsidRDefault="00631620" w:rsidP="005A65B3">
      <w:pPr>
        <w:pStyle w:val="ListParagraph"/>
        <w:suppressAutoHyphens/>
        <w:spacing w:after="0" w:line="360" w:lineRule="auto"/>
        <w:ind w:left="792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1932A0" w:rsidRPr="00DE294C" w:rsidRDefault="001932A0" w:rsidP="005A65B3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2520">
        <w:rPr>
          <w:rFonts w:ascii="Times New Roman" w:hAnsi="Times New Roman" w:cs="Times New Roman"/>
          <w:sz w:val="24"/>
          <w:szCs w:val="24"/>
        </w:rPr>
        <w:t>The University of California offers a variety of health, retirement, vacation and leave benefits and you are also eligible to participate in the S</w:t>
      </w:r>
      <w:r w:rsidR="006C548F">
        <w:rPr>
          <w:rFonts w:ascii="Times New Roman" w:hAnsi="Times New Roman" w:cs="Times New Roman"/>
          <w:sz w:val="24"/>
          <w:szCs w:val="24"/>
        </w:rPr>
        <w:t>enior</w:t>
      </w:r>
      <w:r w:rsidRPr="00AD2520">
        <w:rPr>
          <w:rFonts w:ascii="Times New Roman" w:hAnsi="Times New Roman" w:cs="Times New Roman"/>
          <w:sz w:val="24"/>
          <w:szCs w:val="24"/>
        </w:rPr>
        <w:t xml:space="preserve"> Management Life Insurance &amp; Executive Salary Continuation for Disability Program.  Information about these benefits may be reviewed online at: </w:t>
      </w:r>
      <w:hyperlink r:id="rId12" w:history="1">
        <w:r w:rsidRPr="00AD2520">
          <w:rPr>
            <w:rStyle w:val="Hyperlink"/>
            <w:rFonts w:ascii="Times New Roman" w:hAnsi="Times New Roman" w:cs="Times New Roman"/>
            <w:sz w:val="24"/>
            <w:szCs w:val="24"/>
          </w:rPr>
          <w:t>UC Net.</w:t>
        </w:r>
      </w:hyperlink>
    </w:p>
    <w:p w:rsidR="00DE294C" w:rsidRPr="00DE294C" w:rsidRDefault="00DE294C" w:rsidP="005A65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276" w:rsidRPr="005A65B3" w:rsidRDefault="00C32276" w:rsidP="005A65B3">
      <w:pPr>
        <w:pStyle w:val="ListParagraph"/>
        <w:numPr>
          <w:ilvl w:val="0"/>
          <w:numId w:val="2"/>
        </w:numPr>
        <w:suppressAutoHyphens/>
        <w:spacing w:line="360" w:lineRule="auto"/>
        <w:ind w:right="-1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2520">
        <w:rPr>
          <w:rFonts w:ascii="Times New Roman" w:hAnsi="Times New Roman" w:cs="Times New Roman"/>
          <w:sz w:val="24"/>
          <w:szCs w:val="24"/>
          <w:highlight w:val="yellow"/>
        </w:rPr>
        <w:t>INSERT ONLY IF APPLICABLE:</w:t>
      </w:r>
      <w:r w:rsidRPr="00AD2520">
        <w:rPr>
          <w:rFonts w:ascii="Times New Roman" w:hAnsi="Times New Roman" w:cs="Times New Roman"/>
          <w:sz w:val="24"/>
          <w:szCs w:val="24"/>
        </w:rPr>
        <w:t xml:space="preserve"> </w:t>
      </w:r>
      <w:r w:rsidR="00C35D2C" w:rsidRPr="00AD2520">
        <w:rPr>
          <w:rFonts w:ascii="Times New Roman" w:hAnsi="Times New Roman" w:cs="Times New Roman"/>
          <w:sz w:val="24"/>
          <w:szCs w:val="24"/>
        </w:rPr>
        <w:t xml:space="preserve">You will receive an annual </w:t>
      </w:r>
      <w:r w:rsidR="00AB0C22" w:rsidRPr="00AD2520">
        <w:rPr>
          <w:rFonts w:ascii="Times New Roman" w:hAnsi="Times New Roman" w:cs="Times New Roman"/>
          <w:sz w:val="24"/>
          <w:szCs w:val="24"/>
        </w:rPr>
        <w:t xml:space="preserve">automobile allowance </w:t>
      </w:r>
      <w:r w:rsidR="00C35D2C" w:rsidRPr="00AD2520">
        <w:rPr>
          <w:rFonts w:ascii="Times New Roman" w:hAnsi="Times New Roman" w:cs="Times New Roman"/>
          <w:sz w:val="24"/>
          <w:szCs w:val="24"/>
        </w:rPr>
        <w:t xml:space="preserve">of $8,916, which is paid out monthly in the amount of $743.00.  This will be considered taxable income; appropriate deductions will be withheld.  </w:t>
      </w:r>
      <w:r w:rsidR="0007225F" w:rsidRPr="0007225F">
        <w:rPr>
          <w:rFonts w:ascii="Times New Roman" w:hAnsi="Times New Roman" w:cs="Times New Roman"/>
          <w:sz w:val="24"/>
          <w:szCs w:val="24"/>
          <w:highlight w:val="yellow"/>
        </w:rPr>
        <w:t xml:space="preserve">Review the policy here to determine eligible positions:  </w:t>
      </w:r>
      <w:hyperlink r:id="rId13" w:history="1">
        <w:r w:rsidR="008D5DE3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Regents Policy 7709</w:t>
        </w:r>
      </w:hyperlink>
      <w:r w:rsidR="008D5DE3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5A65B3" w:rsidRPr="005A65B3" w:rsidRDefault="005A65B3" w:rsidP="005A65B3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A65B3" w:rsidRDefault="005A65B3" w:rsidP="005A65B3">
      <w:pPr>
        <w:pStyle w:val="ListParagraph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6A4ED2">
        <w:rPr>
          <w:rFonts w:ascii="Times New Roman" w:hAnsi="Times New Roman"/>
          <w:sz w:val="24"/>
          <w:szCs w:val="24"/>
          <w:highlight w:val="yellow"/>
        </w:rPr>
        <w:t>INSERT ONLY IF APPLICABLE: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520">
        <w:rPr>
          <w:rFonts w:ascii="Times New Roman" w:hAnsi="Times New Roman"/>
          <w:sz w:val="24"/>
          <w:szCs w:val="24"/>
        </w:rPr>
        <w:t xml:space="preserve">The </w:t>
      </w:r>
      <w:hyperlink r:id="rId14" w:history="1">
        <w:r w:rsidRPr="00AD2520">
          <w:rPr>
            <w:rStyle w:val="Hyperlink"/>
            <w:rFonts w:ascii="Times New Roman" w:hAnsi="Times New Roman"/>
            <w:sz w:val="24"/>
            <w:szCs w:val="24"/>
          </w:rPr>
          <w:t>Senior Management Supplemental Benefit Program</w:t>
        </w:r>
      </w:hyperlink>
      <w:r w:rsidRPr="00AD2520">
        <w:rPr>
          <w:rFonts w:ascii="Times New Roman" w:hAnsi="Times New Roman"/>
          <w:sz w:val="24"/>
          <w:szCs w:val="24"/>
        </w:rPr>
        <w:t xml:space="preserve"> provides for contributions to be made to the University’s Retirement Savings Program Plans.  The University will contribute 5 percent of your monthly salary to this program.  View the policy</w:t>
      </w:r>
      <w:r>
        <w:rPr>
          <w:rFonts w:ascii="Times New Roman" w:hAnsi="Times New Roman"/>
          <w:sz w:val="24"/>
          <w:szCs w:val="24"/>
        </w:rPr>
        <w:t xml:space="preserve"> at the link above </w:t>
      </w:r>
      <w:r w:rsidRPr="00AD2520">
        <w:rPr>
          <w:rFonts w:ascii="Times New Roman" w:hAnsi="Times New Roman"/>
          <w:sz w:val="24"/>
          <w:szCs w:val="24"/>
        </w:rPr>
        <w:t>for full details.</w:t>
      </w:r>
    </w:p>
    <w:p w:rsidR="00614532" w:rsidRPr="00614532" w:rsidRDefault="00614532" w:rsidP="005A65B3">
      <w:pPr>
        <w:pStyle w:val="ListParagraph"/>
        <w:suppressAutoHyphens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560949" w:rsidRPr="00614532" w:rsidRDefault="00C32276" w:rsidP="005A65B3">
      <w:pPr>
        <w:pStyle w:val="ListParagraph"/>
        <w:numPr>
          <w:ilvl w:val="0"/>
          <w:numId w:val="4"/>
        </w:numPr>
        <w:suppressAutoHyphens/>
        <w:spacing w:line="360" w:lineRule="auto"/>
        <w:ind w:right="-33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2520">
        <w:rPr>
          <w:rFonts w:ascii="Times New Roman" w:hAnsi="Times New Roman" w:cs="Times New Roman"/>
          <w:sz w:val="24"/>
          <w:szCs w:val="24"/>
          <w:highlight w:val="yellow"/>
        </w:rPr>
        <w:t>INSERT ONLY IF APPLICABLE:</w:t>
      </w:r>
      <w:r w:rsidRPr="00AD2520">
        <w:rPr>
          <w:rFonts w:ascii="Times New Roman" w:hAnsi="Times New Roman" w:cs="Times New Roman"/>
          <w:sz w:val="24"/>
          <w:szCs w:val="24"/>
        </w:rPr>
        <w:t xml:space="preserve">  A temporary housing allowance is being provided for a maximum of </w:t>
      </w:r>
      <w:r w:rsidR="00622FF8" w:rsidRPr="00AD2520">
        <w:rPr>
          <w:rFonts w:ascii="Times New Roman" w:hAnsi="Times New Roman" w:cs="Times New Roman"/>
          <w:sz w:val="24"/>
          <w:szCs w:val="24"/>
        </w:rPr>
        <w:t xml:space="preserve">90 days </w:t>
      </w:r>
      <w:r w:rsidRPr="00AD2520">
        <w:rPr>
          <w:rFonts w:ascii="Times New Roman" w:hAnsi="Times New Roman" w:cs="Times New Roman"/>
          <w:sz w:val="24"/>
          <w:szCs w:val="24"/>
        </w:rPr>
        <w:t xml:space="preserve">in order to assist you with relocation.  The maximum monthly allowance is </w:t>
      </w:r>
      <w:r w:rsidRPr="00AD2520">
        <w:rPr>
          <w:rFonts w:ascii="Times New Roman" w:hAnsi="Times New Roman" w:cs="Times New Roman"/>
          <w:sz w:val="24"/>
          <w:szCs w:val="24"/>
          <w:highlight w:val="yellow"/>
        </w:rPr>
        <w:t>XXXXX.</w:t>
      </w:r>
      <w:r w:rsidRPr="00AD2520">
        <w:rPr>
          <w:rFonts w:ascii="Times New Roman" w:hAnsi="Times New Roman" w:cs="Times New Roman"/>
          <w:sz w:val="24"/>
          <w:szCs w:val="24"/>
        </w:rPr>
        <w:t xml:space="preserve">  The details of this policy allowance may be reviewed here </w:t>
      </w:r>
      <w:hyperlink r:id="rId15" w:history="1">
        <w:r w:rsidRPr="00AD2520">
          <w:rPr>
            <w:rStyle w:val="Hyperlink"/>
            <w:rFonts w:ascii="Times New Roman" w:hAnsi="Times New Roman" w:cs="Times New Roman"/>
            <w:sz w:val="24"/>
            <w:szCs w:val="24"/>
          </w:rPr>
          <w:t>Regents Policy 7710.</w:t>
        </w:r>
      </w:hyperlink>
    </w:p>
    <w:p w:rsidR="00614532" w:rsidRPr="00614532" w:rsidRDefault="00614532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E903F8" w:rsidRPr="00AD2520" w:rsidRDefault="00DA5DF4" w:rsidP="005A65B3">
      <w:pPr>
        <w:pStyle w:val="ListParagraph"/>
        <w:numPr>
          <w:ilvl w:val="0"/>
          <w:numId w:val="4"/>
        </w:numPr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  <w:highlight w:val="yellow"/>
        </w:rPr>
        <w:t>INSERT ONLY IF APPLICABLE:</w:t>
      </w:r>
      <w:r w:rsidRPr="00AD2520">
        <w:rPr>
          <w:rFonts w:ascii="Times New Roman" w:hAnsi="Times New Roman" w:cs="Times New Roman"/>
          <w:sz w:val="24"/>
          <w:szCs w:val="24"/>
        </w:rPr>
        <w:t xml:space="preserve">  </w:t>
      </w:r>
      <w:r w:rsidR="00C32276" w:rsidRPr="00AD2520">
        <w:rPr>
          <w:rFonts w:ascii="Times New Roman" w:hAnsi="Times New Roman" w:cs="Times New Roman"/>
          <w:sz w:val="24"/>
          <w:szCs w:val="24"/>
        </w:rPr>
        <w:t xml:space="preserve">The University will pay for the actual and reasonable expenses associated with moving your household goods and personal effects from your current </w:t>
      </w:r>
      <w:r w:rsidR="009D3B57" w:rsidRPr="00AD2520">
        <w:rPr>
          <w:rFonts w:ascii="Times New Roman" w:hAnsi="Times New Roman" w:cs="Times New Roman"/>
          <w:sz w:val="24"/>
          <w:szCs w:val="24"/>
        </w:rPr>
        <w:t xml:space="preserve">primary </w:t>
      </w:r>
      <w:r w:rsidR="00C32276" w:rsidRPr="00AD2520">
        <w:rPr>
          <w:rFonts w:ascii="Times New Roman" w:hAnsi="Times New Roman" w:cs="Times New Roman"/>
          <w:sz w:val="24"/>
          <w:szCs w:val="24"/>
        </w:rPr>
        <w:t>residen</w:t>
      </w:r>
      <w:r w:rsidR="009D3B57" w:rsidRPr="00AD2520">
        <w:rPr>
          <w:rFonts w:ascii="Times New Roman" w:hAnsi="Times New Roman" w:cs="Times New Roman"/>
          <w:sz w:val="24"/>
          <w:szCs w:val="24"/>
        </w:rPr>
        <w:t>ce</w:t>
      </w:r>
      <w:r w:rsidR="00C32276" w:rsidRPr="00AD2520">
        <w:rPr>
          <w:rFonts w:ascii="Times New Roman" w:hAnsi="Times New Roman" w:cs="Times New Roman"/>
          <w:sz w:val="24"/>
          <w:szCs w:val="24"/>
        </w:rPr>
        <w:t xml:space="preserve"> to your new residence.  Eligible expenses and reimbursements are defined here </w:t>
      </w:r>
      <w:hyperlink r:id="rId16" w:history="1">
        <w:r w:rsidR="00C32276" w:rsidRPr="00AD2520">
          <w:rPr>
            <w:rStyle w:val="Hyperlink"/>
            <w:rFonts w:ascii="Times New Roman" w:hAnsi="Times New Roman" w:cs="Times New Roman"/>
            <w:sz w:val="24"/>
            <w:szCs w:val="24"/>
          </w:rPr>
          <w:t>Regents Policy 7710.</w:t>
        </w:r>
      </w:hyperlink>
    </w:p>
    <w:p w:rsidR="00726773" w:rsidRPr="00AD2520" w:rsidRDefault="00726773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232611" w:rsidRPr="00232611" w:rsidRDefault="00232611" w:rsidP="005A65B3">
      <w:pPr>
        <w:suppressAutoHyphens/>
        <w:spacing w:line="360" w:lineRule="auto"/>
        <w:ind w:left="360" w:right="-338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B1DAD">
        <w:rPr>
          <w:rFonts w:ascii="Times New Roman" w:hAnsi="Times New Roman" w:cs="Times New Roman"/>
          <w:b/>
          <w:i/>
          <w:highlight w:val="yellow"/>
        </w:rPr>
        <w:t>ALL RELOCATION</w:t>
      </w:r>
      <w:r w:rsidR="004B1DAD" w:rsidRPr="004B1DAD">
        <w:rPr>
          <w:rFonts w:ascii="Times New Roman" w:hAnsi="Times New Roman" w:cs="Times New Roman"/>
          <w:b/>
          <w:i/>
          <w:highlight w:val="yellow"/>
        </w:rPr>
        <w:t xml:space="preserve"> ALLOWANCES</w:t>
      </w:r>
      <w:r w:rsidRPr="004B1DAD">
        <w:rPr>
          <w:rFonts w:ascii="Times New Roman" w:hAnsi="Times New Roman" w:cs="Times New Roman"/>
          <w:b/>
          <w:i/>
          <w:highlight w:val="yellow"/>
        </w:rPr>
        <w:t xml:space="preserve"> MAY REQUIRE EXPLICIT APPROVAL FROM THE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PRESIDENT</w:t>
      </w:r>
    </w:p>
    <w:p w:rsidR="008D09A2" w:rsidRPr="008D09A2" w:rsidRDefault="008D09A2" w:rsidP="005A65B3">
      <w:pPr>
        <w:suppressAutoHyphens/>
        <w:spacing w:line="360" w:lineRule="auto"/>
        <w:ind w:left="360" w:right="-338"/>
        <w:rPr>
          <w:rFonts w:ascii="Times New Roman" w:hAnsi="Times New Roman" w:cs="Times New Roman"/>
          <w:sz w:val="24"/>
          <w:szCs w:val="24"/>
        </w:rPr>
      </w:pPr>
      <w:r w:rsidRPr="008D09A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Relocation Allowance – Option 1: Relocation Lump Sum</w:t>
      </w:r>
      <w:r w:rsidRPr="008D09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42E39" w:rsidRPr="00AD2520" w:rsidRDefault="00DA5DF4" w:rsidP="005A65B3">
      <w:pPr>
        <w:pStyle w:val="ListParagraph"/>
        <w:numPr>
          <w:ilvl w:val="0"/>
          <w:numId w:val="4"/>
        </w:numPr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  <w:highlight w:val="yellow"/>
        </w:rPr>
        <w:t>INSERT ONLY IF APPLICABLE:</w:t>
      </w:r>
      <w:r w:rsidRPr="00AD2520">
        <w:rPr>
          <w:rFonts w:ascii="Times New Roman" w:hAnsi="Times New Roman" w:cs="Times New Roman"/>
          <w:sz w:val="24"/>
          <w:szCs w:val="24"/>
        </w:rPr>
        <w:t xml:space="preserve">  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You are being provided a relocation allowance to assist you with transitioning to your new location.  The allowance is 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>XX% (policy is up to 25%)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 of your base salary and will be paid to you in a lump sum within 30 days of your hire date.   </w:t>
      </w:r>
      <w:r w:rsidR="00326FCA" w:rsidRPr="00AD2520">
        <w:rPr>
          <w:rFonts w:ascii="Times New Roman" w:hAnsi="Times New Roman" w:cs="Times New Roman"/>
          <w:sz w:val="24"/>
          <w:szCs w:val="24"/>
        </w:rPr>
        <w:t xml:space="preserve">If you separate employment within </w:t>
      </w:r>
      <w:r w:rsidR="00C64B5B" w:rsidRPr="00AD2520">
        <w:rPr>
          <w:rFonts w:ascii="Times New Roman" w:hAnsi="Times New Roman" w:cs="Times New Roman"/>
          <w:sz w:val="24"/>
          <w:szCs w:val="24"/>
        </w:rPr>
        <w:t xml:space="preserve">two </w:t>
      </w:r>
      <w:r w:rsidR="003478BF" w:rsidRPr="00AD2520">
        <w:rPr>
          <w:rFonts w:ascii="Times New Roman" w:hAnsi="Times New Roman" w:cs="Times New Roman"/>
          <w:sz w:val="24"/>
          <w:szCs w:val="24"/>
        </w:rPr>
        <w:t xml:space="preserve">years </w:t>
      </w:r>
      <w:r w:rsidR="00326FCA" w:rsidRPr="00AD2520">
        <w:rPr>
          <w:rFonts w:ascii="Times New Roman" w:hAnsi="Times New Roman" w:cs="Times New Roman"/>
          <w:sz w:val="24"/>
          <w:szCs w:val="24"/>
        </w:rPr>
        <w:t>of your hire date, you will be required to repay a pro-rated portion of the allowance</w:t>
      </w:r>
      <w:r w:rsidR="003478BF" w:rsidRPr="00AD2520">
        <w:rPr>
          <w:rFonts w:ascii="Times New Roman" w:hAnsi="Times New Roman" w:cs="Times New Roman"/>
          <w:sz w:val="24"/>
          <w:szCs w:val="24"/>
        </w:rPr>
        <w:t xml:space="preserve"> as follows (</w:t>
      </w:r>
      <w:r w:rsidR="003478BF" w:rsidRPr="00AD2520">
        <w:rPr>
          <w:rFonts w:ascii="Times New Roman" w:hAnsi="Times New Roman" w:cs="Times New Roman"/>
          <w:sz w:val="24"/>
          <w:szCs w:val="24"/>
          <w:highlight w:val="yellow"/>
        </w:rPr>
        <w:t>INSERT SPECIFIC DETAILS OF REPAYMENT PROVISIONS)</w:t>
      </w:r>
      <w:r w:rsidR="00326FCA" w:rsidRPr="00AD252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42E39" w:rsidRPr="00AD25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2E39" w:rsidRPr="00AD2520">
        <w:rPr>
          <w:rFonts w:ascii="Times New Roman" w:hAnsi="Times New Roman" w:cs="Times New Roman"/>
          <w:sz w:val="24"/>
          <w:szCs w:val="24"/>
        </w:rPr>
        <w:t xml:space="preserve">More information may be found here:  </w:t>
      </w:r>
      <w:hyperlink r:id="rId17" w:history="1">
        <w:r w:rsidR="00642E39" w:rsidRPr="00AD2520">
          <w:rPr>
            <w:rStyle w:val="Hyperlink"/>
            <w:rFonts w:ascii="Times New Roman" w:hAnsi="Times New Roman" w:cs="Times New Roman"/>
            <w:sz w:val="24"/>
            <w:szCs w:val="24"/>
          </w:rPr>
          <w:t>Regents Policy 7711.</w:t>
        </w:r>
      </w:hyperlink>
    </w:p>
    <w:p w:rsidR="008D09A2" w:rsidRDefault="008D09A2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8D09A2" w:rsidRPr="008D09A2" w:rsidRDefault="008D09A2" w:rsidP="005A65B3">
      <w:pPr>
        <w:suppressAutoHyphens/>
        <w:spacing w:line="360" w:lineRule="auto"/>
        <w:ind w:left="360" w:right="-338"/>
        <w:rPr>
          <w:rFonts w:ascii="Times New Roman" w:hAnsi="Times New Roman" w:cs="Times New Roman"/>
          <w:sz w:val="24"/>
          <w:szCs w:val="24"/>
        </w:rPr>
      </w:pPr>
      <w:r w:rsidRPr="008D09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Relocation Allowance – Option </w:t>
      </w:r>
      <w:r w:rsidR="00F91B52">
        <w:rPr>
          <w:rFonts w:ascii="Times New Roman" w:hAnsi="Times New Roman" w:cs="Times New Roman"/>
          <w:b/>
          <w:sz w:val="24"/>
          <w:szCs w:val="24"/>
          <w:highlight w:val="yellow"/>
        </w:rPr>
        <w:t>2: Installmen</w:t>
      </w:r>
      <w:r w:rsidR="00F91B52" w:rsidRPr="00F91B52">
        <w:rPr>
          <w:rFonts w:ascii="Times New Roman" w:hAnsi="Times New Roman" w:cs="Times New Roman"/>
          <w:b/>
          <w:sz w:val="24"/>
          <w:szCs w:val="24"/>
          <w:highlight w:val="yellow"/>
        </w:rPr>
        <w:t>ts</w:t>
      </w:r>
    </w:p>
    <w:p w:rsidR="00066552" w:rsidRPr="00066552" w:rsidRDefault="008D09A2" w:rsidP="005A65B3">
      <w:pPr>
        <w:pStyle w:val="ListParagraph"/>
        <w:numPr>
          <w:ilvl w:val="0"/>
          <w:numId w:val="6"/>
        </w:numPr>
        <w:suppressAutoHyphens/>
        <w:spacing w:line="360" w:lineRule="auto"/>
        <w:ind w:right="-33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2520">
        <w:rPr>
          <w:rFonts w:ascii="Times New Roman" w:hAnsi="Times New Roman" w:cs="Times New Roman"/>
          <w:sz w:val="24"/>
          <w:szCs w:val="24"/>
          <w:highlight w:val="yellow"/>
        </w:rPr>
        <w:t>INSERT ONLY IF APPLICABLE:</w:t>
      </w:r>
      <w:r w:rsidRPr="00AD2520">
        <w:rPr>
          <w:rFonts w:ascii="Times New Roman" w:hAnsi="Times New Roman" w:cs="Times New Roman"/>
          <w:sz w:val="24"/>
          <w:szCs w:val="24"/>
        </w:rPr>
        <w:t xml:space="preserve">  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You are being provided a relocation allowance to assist with transitioning to your new location.  The allowance is 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>XX%</w:t>
      </w:r>
      <w:r w:rsidR="00DA5DF4" w:rsidRPr="00AD2520">
        <w:rPr>
          <w:rFonts w:ascii="Times New Roman" w:hAnsi="Times New Roman" w:cs="Times New Roman"/>
          <w:sz w:val="24"/>
          <w:szCs w:val="24"/>
          <w:highlight w:val="yellow"/>
        </w:rPr>
        <w:t xml:space="preserve"> or $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 xml:space="preserve"> (policy is up to 25%)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 of your base salary and will be paid to you in installments over </w:t>
      </w:r>
      <w:r w:rsidR="009D3B57" w:rsidRPr="00AD2520">
        <w:rPr>
          <w:rFonts w:ascii="Times New Roman" w:hAnsi="Times New Roman" w:cs="Times New Roman"/>
          <w:sz w:val="24"/>
          <w:szCs w:val="24"/>
        </w:rPr>
        <w:t xml:space="preserve">[two or three or </w:t>
      </w:r>
      <w:r w:rsidR="00726773" w:rsidRPr="00AD2520">
        <w:rPr>
          <w:rFonts w:ascii="Times New Roman" w:hAnsi="Times New Roman" w:cs="Times New Roman"/>
          <w:sz w:val="24"/>
          <w:szCs w:val="24"/>
        </w:rPr>
        <w:t>four</w:t>
      </w:r>
      <w:r w:rsidR="009D3B57" w:rsidRPr="00AD2520">
        <w:rPr>
          <w:rFonts w:ascii="Times New Roman" w:hAnsi="Times New Roman" w:cs="Times New Roman"/>
          <w:sz w:val="24"/>
          <w:szCs w:val="24"/>
        </w:rPr>
        <w:t>]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 years, as follows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>:  XX %</w:t>
      </w:r>
      <w:r w:rsidR="00DA5DF4" w:rsidRPr="00AD2520">
        <w:rPr>
          <w:rFonts w:ascii="Times New Roman" w:hAnsi="Times New Roman" w:cs="Times New Roman"/>
          <w:sz w:val="24"/>
          <w:szCs w:val="24"/>
        </w:rPr>
        <w:t xml:space="preserve"> 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the first year, 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>XX %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 second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>; XX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 third and </w:t>
      </w:r>
      <w:r w:rsidR="00726773" w:rsidRPr="00AD2520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726773" w:rsidRPr="00AD2520">
        <w:rPr>
          <w:rFonts w:ascii="Times New Roman" w:hAnsi="Times New Roman" w:cs="Times New Roman"/>
          <w:sz w:val="24"/>
          <w:szCs w:val="24"/>
        </w:rPr>
        <w:t xml:space="preserve"> fourth year. </w:t>
      </w:r>
      <w:r w:rsidR="00326FCA" w:rsidRPr="00AD2520">
        <w:rPr>
          <w:rFonts w:ascii="Times New Roman" w:hAnsi="Times New Roman" w:cs="Times New Roman"/>
          <w:sz w:val="24"/>
          <w:szCs w:val="24"/>
        </w:rPr>
        <w:t xml:space="preserve">  Any unpaid installments are forfeited if you separate employment.</w:t>
      </w:r>
      <w:r w:rsidR="00642E39" w:rsidRPr="00AD2520">
        <w:rPr>
          <w:rFonts w:ascii="Times New Roman" w:hAnsi="Times New Roman" w:cs="Times New Roman"/>
          <w:sz w:val="24"/>
          <w:szCs w:val="24"/>
        </w:rPr>
        <w:t xml:space="preserve">  More information may be found here:  </w:t>
      </w:r>
      <w:hyperlink r:id="rId18" w:history="1">
        <w:r w:rsidR="00642E39" w:rsidRPr="00AD2520">
          <w:rPr>
            <w:rStyle w:val="Hyperlink"/>
            <w:rFonts w:ascii="Times New Roman" w:hAnsi="Times New Roman" w:cs="Times New Roman"/>
            <w:sz w:val="24"/>
            <w:szCs w:val="24"/>
          </w:rPr>
          <w:t>Regents Policy 7711.</w:t>
        </w:r>
      </w:hyperlink>
    </w:p>
    <w:p w:rsidR="00066552" w:rsidRDefault="00066552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066552" w:rsidRDefault="00066552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066552" w:rsidRPr="00066552" w:rsidRDefault="00066552" w:rsidP="005A65B3">
      <w:pPr>
        <w:pStyle w:val="ListParagraph"/>
        <w:suppressAutoHyphens/>
        <w:spacing w:line="360" w:lineRule="auto"/>
        <w:ind w:right="-33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5BB3" w:rsidRDefault="00A858E8" w:rsidP="005A65B3">
      <w:pPr>
        <w:pStyle w:val="ListParagraph"/>
        <w:numPr>
          <w:ilvl w:val="0"/>
          <w:numId w:val="6"/>
        </w:numPr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  <w:highlight w:val="yellow"/>
        </w:rPr>
        <w:t>INSERT ONLY IF APPLICABLE:</w:t>
      </w:r>
      <w:r w:rsidRPr="00AD2520">
        <w:rPr>
          <w:rFonts w:ascii="Times New Roman" w:hAnsi="Times New Roman" w:cs="Times New Roman"/>
          <w:sz w:val="24"/>
          <w:szCs w:val="24"/>
        </w:rPr>
        <w:t xml:space="preserve"> </w:t>
      </w:r>
      <w:r w:rsidR="00066552" w:rsidRPr="00066552">
        <w:rPr>
          <w:rFonts w:ascii="Times New Roman" w:hAnsi="Times New Roman" w:cs="Times New Roman"/>
          <w:sz w:val="24"/>
          <w:szCs w:val="24"/>
        </w:rPr>
        <w:t xml:space="preserve">You are eligible to participate in the Mortgage Origination Program (MOP) to assist </w:t>
      </w:r>
      <w:r w:rsidR="00793C0A">
        <w:rPr>
          <w:rFonts w:ascii="Times New Roman" w:hAnsi="Times New Roman" w:cs="Times New Roman"/>
          <w:sz w:val="24"/>
          <w:szCs w:val="24"/>
        </w:rPr>
        <w:t xml:space="preserve">you </w:t>
      </w:r>
      <w:r w:rsidR="00066552" w:rsidRPr="00066552">
        <w:rPr>
          <w:rFonts w:ascii="Times New Roman" w:hAnsi="Times New Roman" w:cs="Times New Roman"/>
          <w:sz w:val="24"/>
          <w:szCs w:val="24"/>
        </w:rPr>
        <w:t xml:space="preserve">with a purchase of a principle residence </w:t>
      </w:r>
      <w:r w:rsidRPr="00066552">
        <w:rPr>
          <w:rFonts w:ascii="Times New Roman" w:hAnsi="Times New Roman" w:cs="Times New Roman"/>
          <w:sz w:val="24"/>
          <w:szCs w:val="24"/>
        </w:rPr>
        <w:t xml:space="preserve">near </w:t>
      </w:r>
      <w:r w:rsidRPr="0006655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66552" w:rsidRPr="00066552">
        <w:rPr>
          <w:rFonts w:ascii="Times New Roman" w:hAnsi="Times New Roman" w:cs="Times New Roman"/>
          <w:sz w:val="24"/>
          <w:szCs w:val="24"/>
          <w:highlight w:val="yellow"/>
        </w:rPr>
        <w:t>INSERT LOCATION).</w:t>
      </w:r>
      <w:r w:rsidR="00066552" w:rsidRPr="00066552">
        <w:rPr>
          <w:rFonts w:ascii="Times New Roman" w:hAnsi="Times New Roman" w:cs="Times New Roman"/>
          <w:sz w:val="24"/>
          <w:szCs w:val="24"/>
        </w:rPr>
        <w:t xml:space="preserve">  MOP is administered by the University’s Office of Loan Programs</w:t>
      </w:r>
      <w:r w:rsidR="00793C0A">
        <w:rPr>
          <w:rFonts w:ascii="Times New Roman" w:hAnsi="Times New Roman" w:cs="Times New Roman"/>
          <w:sz w:val="24"/>
          <w:szCs w:val="24"/>
        </w:rPr>
        <w:t xml:space="preserve"> in Oakland, C</w:t>
      </w:r>
      <w:r w:rsidR="006C548F">
        <w:rPr>
          <w:rFonts w:ascii="Times New Roman" w:hAnsi="Times New Roman" w:cs="Times New Roman"/>
          <w:sz w:val="24"/>
          <w:szCs w:val="24"/>
        </w:rPr>
        <w:t>alifornia</w:t>
      </w:r>
      <w:r w:rsidR="00066552" w:rsidRPr="00066552">
        <w:rPr>
          <w:rFonts w:ascii="Times New Roman" w:hAnsi="Times New Roman" w:cs="Times New Roman"/>
          <w:sz w:val="24"/>
          <w:szCs w:val="24"/>
        </w:rPr>
        <w:t xml:space="preserve">.  Certain restrictions apply.  For more information, please visit the MOP website at:   </w:t>
      </w:r>
      <w:hyperlink r:id="rId19" w:history="1">
        <w:r w:rsidR="00066552" w:rsidRPr="00066552">
          <w:rPr>
            <w:rStyle w:val="Hyperlink"/>
            <w:rFonts w:ascii="Times New Roman" w:hAnsi="Times New Roman" w:cs="Times New Roman"/>
            <w:sz w:val="24"/>
            <w:szCs w:val="24"/>
          </w:rPr>
          <w:t>Mortgage Origination Program.</w:t>
        </w:r>
      </w:hyperlink>
    </w:p>
    <w:p w:rsidR="00793C0A" w:rsidRPr="00793C0A" w:rsidRDefault="00793C0A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AD188F" w:rsidRPr="00AD2520" w:rsidRDefault="00AD188F" w:rsidP="005A65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>Your appointment is an “at will” which means that it can be terminated at any time with or without cause</w:t>
      </w:r>
      <w:r w:rsidRPr="00AD2520">
        <w:rPr>
          <w:rFonts w:ascii="Times New Roman" w:hAnsi="Times New Roman" w:cs="Times New Roman"/>
          <w:sz w:val="24"/>
          <w:szCs w:val="24"/>
          <w:highlight w:val="yellow"/>
        </w:rPr>
        <w:t>.(INSERT ONLY IF APPLICABLE)  If your appoint</w:t>
      </w:r>
      <w:r w:rsidRPr="00AD2520">
        <w:rPr>
          <w:rFonts w:ascii="Times New Roman" w:hAnsi="Times New Roman" w:cs="Times New Roman"/>
          <w:sz w:val="24"/>
          <w:szCs w:val="24"/>
          <w:highlight w:val="yellow"/>
        </w:rPr>
        <w:softHyphen/>
        <w:t>ment is terminated other than for cause, you will be able to exercise the retreat rights to your academic appointment.</w:t>
      </w:r>
      <w:r w:rsidRPr="00AD2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88F" w:rsidRPr="00AD2520" w:rsidRDefault="00AD188F" w:rsidP="005A65B3">
      <w:pPr>
        <w:pStyle w:val="ListParagraph"/>
        <w:suppressAutoHyphens/>
        <w:spacing w:line="360" w:lineRule="auto"/>
        <w:ind w:right="-338"/>
        <w:rPr>
          <w:rFonts w:ascii="Times New Roman" w:hAnsi="Times New Roman" w:cs="Times New Roman"/>
          <w:sz w:val="24"/>
          <w:szCs w:val="24"/>
        </w:rPr>
      </w:pPr>
    </w:p>
    <w:p w:rsidR="00077F40" w:rsidRPr="00AD2520" w:rsidRDefault="00077F40" w:rsidP="005A65B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lastRenderedPageBreak/>
        <w:t xml:space="preserve">Due to the critical nature of this position, a background check is required prior to your start date.  </w:t>
      </w:r>
      <w:r w:rsidR="00874248" w:rsidRPr="00AD2520">
        <w:rPr>
          <w:rFonts w:ascii="Times New Roman" w:hAnsi="Times New Roman" w:cs="Times New Roman"/>
          <w:sz w:val="24"/>
          <w:szCs w:val="24"/>
          <w:highlight w:val="yellow"/>
        </w:rPr>
        <w:t xml:space="preserve">(INSERT ONLY IF APPLICABLE) </w:t>
      </w:r>
      <w:r w:rsidRPr="00AD2520">
        <w:rPr>
          <w:rFonts w:ascii="Times New Roman" w:hAnsi="Times New Roman" w:cs="Times New Roman"/>
          <w:sz w:val="24"/>
          <w:szCs w:val="24"/>
          <w:highlight w:val="yellow"/>
        </w:rPr>
        <w:t>You will receive an e-mail from the University’s background check vendor to begin the process.</w:t>
      </w:r>
      <w:r w:rsidRPr="00AD2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8BF" w:rsidRPr="00AD2520" w:rsidRDefault="003478BF" w:rsidP="005A65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 xml:space="preserve">You are a designated official of the University for purposes of the California Political Reform Act of 1974.  You will complete and file with the UC Office of General Counsel a Form 700 report once your appointment begins and thereafter on an annual basis.  More information may be found here: </w:t>
      </w:r>
      <w:hyperlink r:id="rId20" w:history="1">
        <w:r w:rsidRPr="00AD2520">
          <w:rPr>
            <w:rStyle w:val="Hyperlink"/>
            <w:rFonts w:ascii="Times New Roman" w:hAnsi="Times New Roman" w:cs="Times New Roman"/>
            <w:sz w:val="24"/>
            <w:szCs w:val="24"/>
          </w:rPr>
          <w:t>UC Conflict of Interest Code</w:t>
        </w:r>
      </w:hyperlink>
      <w:r w:rsidRPr="00AD2520">
        <w:rPr>
          <w:rFonts w:ascii="Times New Roman" w:hAnsi="Times New Roman" w:cs="Times New Roman"/>
          <w:sz w:val="24"/>
          <w:szCs w:val="24"/>
        </w:rPr>
        <w:t>.</w:t>
      </w:r>
    </w:p>
    <w:p w:rsidR="00B51B24" w:rsidRPr="00DE294C" w:rsidRDefault="00B51B24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2D5" w:rsidRDefault="00BD42D5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 xml:space="preserve">If you are in agreement with the terms and conditions of this offer, please sign this letter where indicated and return it to me at your earliest convenience.  </w:t>
      </w:r>
    </w:p>
    <w:p w:rsidR="00125EFE" w:rsidRPr="00AD2520" w:rsidRDefault="00B87511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>Again, w</w:t>
      </w:r>
      <w:r w:rsidR="001B482A" w:rsidRPr="00AD2520">
        <w:rPr>
          <w:rFonts w:ascii="Times New Roman" w:hAnsi="Times New Roman" w:cs="Times New Roman"/>
          <w:sz w:val="24"/>
          <w:szCs w:val="24"/>
        </w:rPr>
        <w:t>e</w:t>
      </w:r>
      <w:r w:rsidRPr="00AD2520">
        <w:rPr>
          <w:rFonts w:ascii="Times New Roman" w:hAnsi="Times New Roman" w:cs="Times New Roman"/>
          <w:sz w:val="24"/>
          <w:szCs w:val="24"/>
        </w:rPr>
        <w:t xml:space="preserve"> look </w:t>
      </w:r>
      <w:r w:rsidR="00BD42D5" w:rsidRPr="00AD2520">
        <w:rPr>
          <w:rFonts w:ascii="Times New Roman" w:hAnsi="Times New Roman" w:cs="Times New Roman"/>
          <w:sz w:val="24"/>
          <w:szCs w:val="24"/>
        </w:rPr>
        <w:t xml:space="preserve">forward to welcoming you to the University of California.  </w:t>
      </w:r>
      <w:r w:rsidR="001B482A" w:rsidRPr="00AD2520">
        <w:rPr>
          <w:rFonts w:ascii="Times New Roman" w:hAnsi="Times New Roman" w:cs="Times New Roman"/>
          <w:sz w:val="24"/>
          <w:szCs w:val="24"/>
        </w:rPr>
        <w:t xml:space="preserve">If you </w:t>
      </w:r>
      <w:r w:rsidRPr="00AD2520">
        <w:rPr>
          <w:rFonts w:ascii="Times New Roman" w:hAnsi="Times New Roman" w:cs="Times New Roman"/>
          <w:sz w:val="24"/>
          <w:szCs w:val="24"/>
        </w:rPr>
        <w:t xml:space="preserve">should </w:t>
      </w:r>
      <w:r w:rsidR="001B482A" w:rsidRPr="00AD2520">
        <w:rPr>
          <w:rFonts w:ascii="Times New Roman" w:hAnsi="Times New Roman" w:cs="Times New Roman"/>
          <w:sz w:val="24"/>
          <w:szCs w:val="24"/>
        </w:rPr>
        <w:t xml:space="preserve">have any questions, please feel free to contact </w:t>
      </w:r>
      <w:r w:rsidR="00762B64" w:rsidRPr="00AD2520">
        <w:rPr>
          <w:rFonts w:ascii="Times New Roman" w:hAnsi="Times New Roman" w:cs="Times New Roman"/>
          <w:sz w:val="24"/>
          <w:szCs w:val="24"/>
        </w:rPr>
        <w:t xml:space="preserve">me or </w:t>
      </w:r>
      <w:r w:rsidR="001B482A" w:rsidRPr="00AD2520">
        <w:rPr>
          <w:rFonts w:ascii="Times New Roman" w:hAnsi="Times New Roman" w:cs="Times New Roman"/>
          <w:sz w:val="24"/>
          <w:szCs w:val="24"/>
        </w:rPr>
        <w:t>_______________.</w:t>
      </w:r>
    </w:p>
    <w:p w:rsidR="001B482A" w:rsidRPr="00AD2520" w:rsidRDefault="001B482A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>Sincerely,</w:t>
      </w:r>
    </w:p>
    <w:p w:rsidR="00F90EAD" w:rsidRPr="00AD2520" w:rsidRDefault="00F90EAD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>(HIRING MANAGER)</w:t>
      </w:r>
    </w:p>
    <w:p w:rsidR="00762B64" w:rsidRPr="00AD2520" w:rsidRDefault="00A958A0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 xml:space="preserve">I accept all of the terms and conditions of this offer and understand that I am </w:t>
      </w:r>
      <w:r w:rsidR="00DA5DF4" w:rsidRPr="00AD2520">
        <w:rPr>
          <w:rFonts w:ascii="Times New Roman" w:hAnsi="Times New Roman" w:cs="Times New Roman"/>
          <w:sz w:val="24"/>
          <w:szCs w:val="24"/>
        </w:rPr>
        <w:t xml:space="preserve">subject to </w:t>
      </w:r>
      <w:r w:rsidRPr="00AD2520">
        <w:rPr>
          <w:rFonts w:ascii="Times New Roman" w:hAnsi="Times New Roman" w:cs="Times New Roman"/>
          <w:sz w:val="24"/>
          <w:szCs w:val="24"/>
        </w:rPr>
        <w:t>all</w:t>
      </w:r>
      <w:r w:rsidR="00DA5DF4" w:rsidRPr="00AD2520">
        <w:rPr>
          <w:rFonts w:ascii="Times New Roman" w:hAnsi="Times New Roman" w:cs="Times New Roman"/>
          <w:sz w:val="24"/>
          <w:szCs w:val="24"/>
        </w:rPr>
        <w:t xml:space="preserve"> applicable </w:t>
      </w:r>
      <w:r w:rsidR="00750BD5" w:rsidRPr="00AD2520">
        <w:rPr>
          <w:rFonts w:ascii="Times New Roman" w:hAnsi="Times New Roman" w:cs="Times New Roman"/>
          <w:sz w:val="24"/>
          <w:szCs w:val="24"/>
        </w:rPr>
        <w:t>UC, Regent</w:t>
      </w:r>
      <w:r w:rsidR="00DA5DF4" w:rsidRPr="00AD2520">
        <w:rPr>
          <w:rFonts w:ascii="Times New Roman" w:hAnsi="Times New Roman" w:cs="Times New Roman"/>
          <w:sz w:val="24"/>
          <w:szCs w:val="24"/>
        </w:rPr>
        <w:t>s</w:t>
      </w:r>
      <w:r w:rsidR="00750BD5" w:rsidRPr="00AD2520">
        <w:rPr>
          <w:rFonts w:ascii="Times New Roman" w:hAnsi="Times New Roman" w:cs="Times New Roman"/>
          <w:sz w:val="24"/>
          <w:szCs w:val="24"/>
        </w:rPr>
        <w:t xml:space="preserve"> and SMG policies. </w:t>
      </w:r>
      <w:r w:rsidRPr="00AD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64" w:rsidRPr="00AD2520" w:rsidRDefault="00762B64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</w:r>
      <w:r w:rsidRPr="00AD2520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311A2" w:rsidRDefault="00762B64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520">
        <w:rPr>
          <w:rFonts w:ascii="Times New Roman" w:hAnsi="Times New Roman" w:cs="Times New Roman"/>
          <w:sz w:val="24"/>
          <w:szCs w:val="24"/>
        </w:rPr>
        <w:t>Signature</w:t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</w:r>
      <w:r w:rsidRPr="00AD2520">
        <w:rPr>
          <w:rFonts w:ascii="Times New Roman" w:hAnsi="Times New Roman" w:cs="Times New Roman"/>
          <w:sz w:val="24"/>
          <w:szCs w:val="24"/>
        </w:rPr>
        <w:tab/>
        <w:t>Date</w:t>
      </w:r>
    </w:p>
    <w:p w:rsidR="00FC2361" w:rsidRDefault="00FC2361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361" w:rsidRPr="00AD2520" w:rsidRDefault="00FC2361" w:rsidP="005A6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 </w:t>
      </w:r>
    </w:p>
    <w:sectPr w:rsidR="00FC2361" w:rsidRPr="00AD2520" w:rsidSect="00D505ED">
      <w:footerReference w:type="default" r:id="rId21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F" w:rsidRDefault="00ED31DF" w:rsidP="00D017DD">
      <w:pPr>
        <w:spacing w:after="0" w:line="240" w:lineRule="auto"/>
      </w:pPr>
      <w:r>
        <w:separator/>
      </w:r>
    </w:p>
  </w:endnote>
  <w:endnote w:type="continuationSeparator" w:id="0">
    <w:p w:rsidR="00ED31DF" w:rsidRDefault="00ED31DF" w:rsidP="00D0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8F" w:rsidRDefault="005C768F">
    <w:pPr>
      <w:pStyle w:val="Footer"/>
    </w:pPr>
    <w:r>
      <w:t xml:space="preserve">Approved </w:t>
    </w:r>
    <w:r w:rsidR="00974105">
      <w:t>letter by UCOP November, 2015</w:t>
    </w:r>
    <w:r w:rsidR="006C548F">
      <w:tab/>
    </w:r>
    <w:r w:rsidR="006C548F">
      <w:fldChar w:fldCharType="begin"/>
    </w:r>
    <w:r w:rsidR="006C548F">
      <w:instrText xml:space="preserve"> PAGE   \* MERGEFORMAT </w:instrText>
    </w:r>
    <w:r w:rsidR="006C548F">
      <w:fldChar w:fldCharType="separate"/>
    </w:r>
    <w:r w:rsidR="00E1384B">
      <w:rPr>
        <w:noProof/>
      </w:rPr>
      <w:t>1</w:t>
    </w:r>
    <w:r w:rsidR="006C548F">
      <w:rPr>
        <w:noProof/>
      </w:rPr>
      <w:fldChar w:fldCharType="end"/>
    </w:r>
    <w:r w:rsidR="006C548F">
      <w:tab/>
    </w:r>
  </w:p>
  <w:p w:rsidR="00D017DD" w:rsidRDefault="00D01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F" w:rsidRDefault="00ED31DF" w:rsidP="00D017DD">
      <w:pPr>
        <w:spacing w:after="0" w:line="240" w:lineRule="auto"/>
      </w:pPr>
      <w:r>
        <w:separator/>
      </w:r>
    </w:p>
  </w:footnote>
  <w:footnote w:type="continuationSeparator" w:id="0">
    <w:p w:rsidR="00ED31DF" w:rsidRDefault="00ED31DF" w:rsidP="00D0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B04"/>
    <w:multiLevelType w:val="hybridMultilevel"/>
    <w:tmpl w:val="9208B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276E9"/>
    <w:multiLevelType w:val="hybridMultilevel"/>
    <w:tmpl w:val="549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D1D"/>
    <w:multiLevelType w:val="hybridMultilevel"/>
    <w:tmpl w:val="6618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01D"/>
    <w:multiLevelType w:val="hybridMultilevel"/>
    <w:tmpl w:val="247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5FFD"/>
    <w:multiLevelType w:val="hybridMultilevel"/>
    <w:tmpl w:val="2FBC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1A70"/>
    <w:multiLevelType w:val="hybridMultilevel"/>
    <w:tmpl w:val="7C00909C"/>
    <w:lvl w:ilvl="0" w:tplc="09126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2412"/>
    <w:multiLevelType w:val="hybridMultilevel"/>
    <w:tmpl w:val="0CAA4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675E0D"/>
    <w:multiLevelType w:val="hybridMultilevel"/>
    <w:tmpl w:val="4ED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777B0"/>
    <w:multiLevelType w:val="hybridMultilevel"/>
    <w:tmpl w:val="F754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CF2614"/>
    <w:multiLevelType w:val="hybridMultilevel"/>
    <w:tmpl w:val="268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B61F49"/>
    <w:multiLevelType w:val="hybridMultilevel"/>
    <w:tmpl w:val="AF94562A"/>
    <w:lvl w:ilvl="0" w:tplc="196CA2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5"/>
    <w:rsid w:val="00016926"/>
    <w:rsid w:val="00016CAC"/>
    <w:rsid w:val="00020D14"/>
    <w:rsid w:val="00041369"/>
    <w:rsid w:val="0004321B"/>
    <w:rsid w:val="00045E2F"/>
    <w:rsid w:val="00047A33"/>
    <w:rsid w:val="00066552"/>
    <w:rsid w:val="0007225F"/>
    <w:rsid w:val="00076339"/>
    <w:rsid w:val="000776BB"/>
    <w:rsid w:val="00077F40"/>
    <w:rsid w:val="000E2FDE"/>
    <w:rsid w:val="000F0E4E"/>
    <w:rsid w:val="00125EFE"/>
    <w:rsid w:val="00126CFD"/>
    <w:rsid w:val="0013182A"/>
    <w:rsid w:val="00140337"/>
    <w:rsid w:val="00170E98"/>
    <w:rsid w:val="001932A0"/>
    <w:rsid w:val="001A1F64"/>
    <w:rsid w:val="001B482A"/>
    <w:rsid w:val="001D1D46"/>
    <w:rsid w:val="001D6697"/>
    <w:rsid w:val="001E42C2"/>
    <w:rsid w:val="001F511F"/>
    <w:rsid w:val="00222E55"/>
    <w:rsid w:val="00232611"/>
    <w:rsid w:val="00251581"/>
    <w:rsid w:val="00255C88"/>
    <w:rsid w:val="00263A3F"/>
    <w:rsid w:val="00263EF0"/>
    <w:rsid w:val="00295676"/>
    <w:rsid w:val="002A1A39"/>
    <w:rsid w:val="002B5DA3"/>
    <w:rsid w:val="002E07D3"/>
    <w:rsid w:val="002E7870"/>
    <w:rsid w:val="002F1D53"/>
    <w:rsid w:val="002F4822"/>
    <w:rsid w:val="002F68A5"/>
    <w:rsid w:val="00326FCA"/>
    <w:rsid w:val="003478BF"/>
    <w:rsid w:val="00371911"/>
    <w:rsid w:val="003A5EE8"/>
    <w:rsid w:val="00402EEE"/>
    <w:rsid w:val="00443998"/>
    <w:rsid w:val="00471AD6"/>
    <w:rsid w:val="004746D0"/>
    <w:rsid w:val="00480916"/>
    <w:rsid w:val="004907DD"/>
    <w:rsid w:val="004B1DAD"/>
    <w:rsid w:val="004D62F8"/>
    <w:rsid w:val="005229C8"/>
    <w:rsid w:val="00530573"/>
    <w:rsid w:val="00532476"/>
    <w:rsid w:val="00534771"/>
    <w:rsid w:val="005403C8"/>
    <w:rsid w:val="00560949"/>
    <w:rsid w:val="00563F2D"/>
    <w:rsid w:val="00580705"/>
    <w:rsid w:val="005A65B3"/>
    <w:rsid w:val="005C1DD4"/>
    <w:rsid w:val="005C768F"/>
    <w:rsid w:val="005D179B"/>
    <w:rsid w:val="00614532"/>
    <w:rsid w:val="00622FF8"/>
    <w:rsid w:val="00631620"/>
    <w:rsid w:val="00633D3D"/>
    <w:rsid w:val="00642E39"/>
    <w:rsid w:val="006555AB"/>
    <w:rsid w:val="006604CC"/>
    <w:rsid w:val="00683794"/>
    <w:rsid w:val="006A4ED2"/>
    <w:rsid w:val="006A7D2A"/>
    <w:rsid w:val="006B3C84"/>
    <w:rsid w:val="006C548F"/>
    <w:rsid w:val="007009A3"/>
    <w:rsid w:val="00714ECC"/>
    <w:rsid w:val="00726773"/>
    <w:rsid w:val="00747310"/>
    <w:rsid w:val="0074778A"/>
    <w:rsid w:val="00750BD5"/>
    <w:rsid w:val="00762B64"/>
    <w:rsid w:val="00764008"/>
    <w:rsid w:val="00765AB7"/>
    <w:rsid w:val="00790001"/>
    <w:rsid w:val="00793C0A"/>
    <w:rsid w:val="007972AF"/>
    <w:rsid w:val="007C0993"/>
    <w:rsid w:val="007D4F84"/>
    <w:rsid w:val="007F00D6"/>
    <w:rsid w:val="00817FA0"/>
    <w:rsid w:val="008345B5"/>
    <w:rsid w:val="00837892"/>
    <w:rsid w:val="00842B87"/>
    <w:rsid w:val="0084544D"/>
    <w:rsid w:val="008660EC"/>
    <w:rsid w:val="00874248"/>
    <w:rsid w:val="0087512B"/>
    <w:rsid w:val="008A4D60"/>
    <w:rsid w:val="008C05F8"/>
    <w:rsid w:val="008D09A2"/>
    <w:rsid w:val="008D4048"/>
    <w:rsid w:val="008D524F"/>
    <w:rsid w:val="008D5DE3"/>
    <w:rsid w:val="008E5A5C"/>
    <w:rsid w:val="008F2238"/>
    <w:rsid w:val="009021E0"/>
    <w:rsid w:val="00904EDC"/>
    <w:rsid w:val="00905BB3"/>
    <w:rsid w:val="00911E9E"/>
    <w:rsid w:val="009153BC"/>
    <w:rsid w:val="00917896"/>
    <w:rsid w:val="009344D8"/>
    <w:rsid w:val="00945A7F"/>
    <w:rsid w:val="00956EDD"/>
    <w:rsid w:val="00974105"/>
    <w:rsid w:val="00984919"/>
    <w:rsid w:val="009B4C24"/>
    <w:rsid w:val="009D3B57"/>
    <w:rsid w:val="009D7DDA"/>
    <w:rsid w:val="00A6110D"/>
    <w:rsid w:val="00A7085F"/>
    <w:rsid w:val="00A858E8"/>
    <w:rsid w:val="00A958A0"/>
    <w:rsid w:val="00AA7436"/>
    <w:rsid w:val="00AB0C22"/>
    <w:rsid w:val="00AB1626"/>
    <w:rsid w:val="00AC43C1"/>
    <w:rsid w:val="00AD188F"/>
    <w:rsid w:val="00AD2520"/>
    <w:rsid w:val="00B25308"/>
    <w:rsid w:val="00B311A2"/>
    <w:rsid w:val="00B469BE"/>
    <w:rsid w:val="00B51B24"/>
    <w:rsid w:val="00B87511"/>
    <w:rsid w:val="00B90E4D"/>
    <w:rsid w:val="00B93982"/>
    <w:rsid w:val="00B97B8F"/>
    <w:rsid w:val="00BA4862"/>
    <w:rsid w:val="00BA4A96"/>
    <w:rsid w:val="00BC36CF"/>
    <w:rsid w:val="00BD42D5"/>
    <w:rsid w:val="00C03B85"/>
    <w:rsid w:val="00C0579F"/>
    <w:rsid w:val="00C221DC"/>
    <w:rsid w:val="00C32276"/>
    <w:rsid w:val="00C35D2C"/>
    <w:rsid w:val="00C6421A"/>
    <w:rsid w:val="00C64B5B"/>
    <w:rsid w:val="00CB77EF"/>
    <w:rsid w:val="00CD1257"/>
    <w:rsid w:val="00CD6AC8"/>
    <w:rsid w:val="00CF6385"/>
    <w:rsid w:val="00D017DD"/>
    <w:rsid w:val="00D02B1A"/>
    <w:rsid w:val="00D349A9"/>
    <w:rsid w:val="00D37DFF"/>
    <w:rsid w:val="00D466F7"/>
    <w:rsid w:val="00D505ED"/>
    <w:rsid w:val="00D7073C"/>
    <w:rsid w:val="00D70C71"/>
    <w:rsid w:val="00D81CF7"/>
    <w:rsid w:val="00D8235D"/>
    <w:rsid w:val="00D94838"/>
    <w:rsid w:val="00DA00E2"/>
    <w:rsid w:val="00DA22F7"/>
    <w:rsid w:val="00DA3934"/>
    <w:rsid w:val="00DA5DF4"/>
    <w:rsid w:val="00DE109C"/>
    <w:rsid w:val="00DE2823"/>
    <w:rsid w:val="00DE294C"/>
    <w:rsid w:val="00DE5A83"/>
    <w:rsid w:val="00E10080"/>
    <w:rsid w:val="00E1384B"/>
    <w:rsid w:val="00E21DB2"/>
    <w:rsid w:val="00E73F3E"/>
    <w:rsid w:val="00E75886"/>
    <w:rsid w:val="00E903F8"/>
    <w:rsid w:val="00EC1F06"/>
    <w:rsid w:val="00ED2E64"/>
    <w:rsid w:val="00ED31DF"/>
    <w:rsid w:val="00EF08F8"/>
    <w:rsid w:val="00EF13A8"/>
    <w:rsid w:val="00F103E2"/>
    <w:rsid w:val="00F4557F"/>
    <w:rsid w:val="00F83C84"/>
    <w:rsid w:val="00F90EAD"/>
    <w:rsid w:val="00F91B52"/>
    <w:rsid w:val="00FB0DE6"/>
    <w:rsid w:val="00FC2361"/>
    <w:rsid w:val="00FC2FE4"/>
    <w:rsid w:val="00FE4B7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9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DD"/>
  </w:style>
  <w:style w:type="paragraph" w:styleId="Footer">
    <w:name w:val="footer"/>
    <w:basedOn w:val="Normal"/>
    <w:link w:val="FooterChar"/>
    <w:uiPriority w:val="99"/>
    <w:unhideWhenUsed/>
    <w:rsid w:val="00D0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DD"/>
  </w:style>
  <w:style w:type="paragraph" w:styleId="ListParagraph">
    <w:name w:val="List Paragraph"/>
    <w:basedOn w:val="Normal"/>
    <w:uiPriority w:val="34"/>
    <w:qFormat/>
    <w:rsid w:val="00530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66552"/>
    <w:pPr>
      <w:spacing w:line="240" w:lineRule="atLeast"/>
    </w:pPr>
    <w:rPr>
      <w:rFonts w:ascii="Century Gothic" w:hAnsi="Century Gothic" w:cstheme="minorBidi"/>
      <w:color w:val="auto"/>
    </w:rPr>
  </w:style>
  <w:style w:type="character" w:customStyle="1" w:styleId="A5">
    <w:name w:val="A5"/>
    <w:uiPriority w:val="99"/>
    <w:rsid w:val="00066552"/>
    <w:rPr>
      <w:rFonts w:cs="Century Gothic"/>
      <w:color w:val="0000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9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DD"/>
  </w:style>
  <w:style w:type="paragraph" w:styleId="Footer">
    <w:name w:val="footer"/>
    <w:basedOn w:val="Normal"/>
    <w:link w:val="FooterChar"/>
    <w:uiPriority w:val="99"/>
    <w:unhideWhenUsed/>
    <w:rsid w:val="00D0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DD"/>
  </w:style>
  <w:style w:type="paragraph" w:styleId="ListParagraph">
    <w:name w:val="List Paragraph"/>
    <w:basedOn w:val="Normal"/>
    <w:uiPriority w:val="34"/>
    <w:qFormat/>
    <w:rsid w:val="00530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66552"/>
    <w:pPr>
      <w:spacing w:line="240" w:lineRule="atLeast"/>
    </w:pPr>
    <w:rPr>
      <w:rFonts w:ascii="Century Gothic" w:hAnsi="Century Gothic" w:cstheme="minorBidi"/>
      <w:color w:val="auto"/>
    </w:rPr>
  </w:style>
  <w:style w:type="character" w:customStyle="1" w:styleId="A5">
    <w:name w:val="A5"/>
    <w:uiPriority w:val="99"/>
    <w:rsid w:val="00066552"/>
    <w:rPr>
      <w:rFonts w:cs="Century Gothic"/>
      <w:color w:val="0000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ents.universityofcalifornia.edu/policies/7709.pdf" TargetMode="External"/><Relationship Id="rId18" Type="http://schemas.openxmlformats.org/officeDocument/2006/relationships/hyperlink" Target="http://policy.ucop.edu/_files/smg-docs/smg_relocate_allow.pdf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cnet.universityofcalifornia.edu/compensation-and-benefits/index.html" TargetMode="External"/><Relationship Id="rId17" Type="http://schemas.openxmlformats.org/officeDocument/2006/relationships/hyperlink" Target="http://policy.ucop.edu/_files/smg-docs/smg_relocate_allow.pdf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policy.ucop.edu/_files/smg-docs/smg_move_reimburse.pdf" TargetMode="External"/><Relationship Id="rId20" Type="http://schemas.openxmlformats.org/officeDocument/2006/relationships/hyperlink" Target="http://ucop.edu/general-counsel/legal-resources/conflict-of-interest-cod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cy.ucop.edu/_files/smg-docs/smg_hire.pdf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policy.ucop.edu/_files/smg-docs/smg_move_reimburs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licy.ucop.edu/manuals/smg-hr-policies.html" TargetMode="External"/><Relationship Id="rId19" Type="http://schemas.openxmlformats.org/officeDocument/2006/relationships/hyperlink" Target="http://www.ucop.edu/loan-programs/loan-programs/mortgage-origination-progr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op.edu/operating-budget/_files/legreports/1011/2010-compensation-policies-practices.pdf" TargetMode="External"/><Relationship Id="rId14" Type="http://schemas.openxmlformats.org/officeDocument/2006/relationships/hyperlink" Target="http://ucnet.universityofcalifornia.edu/compensation-and-benefits/retirement-benefits/senior-management-supplemental-benefits-progra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D2614511A254BB6745E73B52B1735" ma:contentTypeVersion="0" ma:contentTypeDescription="Create a new document." ma:contentTypeScope="" ma:versionID="3bbf379353ccac4ca8173a7836ad69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AFBA3-292F-486B-970C-9AAD3DD1D078}"/>
</file>

<file path=customXml/itemProps2.xml><?xml version="1.0" encoding="utf-8"?>
<ds:datastoreItem xmlns:ds="http://schemas.openxmlformats.org/officeDocument/2006/customXml" ds:itemID="{AE2ADFBD-AF20-455C-9DF6-6F5B649D5551}"/>
</file>

<file path=customXml/itemProps3.xml><?xml version="1.0" encoding="utf-8"?>
<ds:datastoreItem xmlns:ds="http://schemas.openxmlformats.org/officeDocument/2006/customXml" ds:itemID="{16821300-5DA5-4F33-AEA7-133E9DDFF031}"/>
</file>

<file path=customXml/itemProps4.xml><?xml version="1.0" encoding="utf-8"?>
<ds:datastoreItem xmlns:ds="http://schemas.openxmlformats.org/officeDocument/2006/customXml" ds:itemID="{AA8570B4-F1D0-4D27-B2C0-44CBF2A99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California</dc:creator>
  <cp:lastModifiedBy>Windows User</cp:lastModifiedBy>
  <cp:revision>2</cp:revision>
  <cp:lastPrinted>2015-12-01T00:35:00Z</cp:lastPrinted>
  <dcterms:created xsi:type="dcterms:W3CDTF">2015-12-17T22:34:00Z</dcterms:created>
  <dcterms:modified xsi:type="dcterms:W3CDTF">2015-12-17T22:34:00Z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0x010100C5CD2614511A254BB6745E73B52B1735</vt:lpwstr>
  </property>
</Properties>
</file>